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73" w:rsidRDefault="004B2373" w:rsidP="003F57D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4476"/>
      </w:tblGrid>
      <w:tr w:rsidR="004B2373" w:rsidTr="004B2373">
        <w:tc>
          <w:tcPr>
            <w:tcW w:w="4247" w:type="dxa"/>
            <w:vAlign w:val="center"/>
          </w:tcPr>
          <w:p w:rsidR="004B2373" w:rsidRPr="004B2373" w:rsidRDefault="004B2373" w:rsidP="004B2373">
            <w:pPr>
              <w:jc w:val="center"/>
              <w:rPr>
                <w:rFonts w:ascii="Bradley Hand ITC" w:hAnsi="Bradley Hand ITC" w:cs="Arial"/>
                <w:b/>
                <w:color w:val="2E74B5" w:themeColor="accent1" w:themeShade="BF"/>
                <w:sz w:val="48"/>
                <w:szCs w:val="48"/>
              </w:rPr>
            </w:pPr>
            <w:r w:rsidRPr="004B2373">
              <w:rPr>
                <w:rFonts w:ascii="Bradley Hand ITC" w:hAnsi="Bradley Hand ITC" w:cs="Arial"/>
                <w:b/>
                <w:color w:val="2E74B5" w:themeColor="accent1" w:themeShade="BF"/>
                <w:sz w:val="48"/>
                <w:szCs w:val="48"/>
              </w:rPr>
              <w:t>La  importancia de la formalización de una empresa:</w:t>
            </w:r>
          </w:p>
          <w:p w:rsidR="004B2373" w:rsidRDefault="004B2373" w:rsidP="003F57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4B2373" w:rsidRDefault="004B2373" w:rsidP="003F57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425313F" wp14:editId="11DF0F0A">
                  <wp:extent cx="2705100" cy="1685925"/>
                  <wp:effectExtent l="0" t="0" r="0" b="9525"/>
                  <wp:docPr id="1" name="Imagen 1" descr="Taller sobre formalización y boletas de pago electrónicas | Joinn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ller sobre formalización y boletas de pago electrónicas | Joinn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373" w:rsidRDefault="004B2373" w:rsidP="003F57D6">
      <w:pPr>
        <w:jc w:val="both"/>
        <w:rPr>
          <w:rFonts w:ascii="Arial" w:hAnsi="Arial" w:cs="Arial"/>
          <w:b/>
          <w:sz w:val="24"/>
          <w:szCs w:val="24"/>
        </w:rPr>
      </w:pPr>
    </w:p>
    <w:p w:rsidR="003F57D6" w:rsidRPr="003F57D6" w:rsidRDefault="003F57D6" w:rsidP="003F57D6">
      <w:pPr>
        <w:jc w:val="both"/>
        <w:rPr>
          <w:rFonts w:ascii="Arial" w:hAnsi="Arial" w:cs="Arial"/>
          <w:sz w:val="24"/>
          <w:szCs w:val="24"/>
        </w:rPr>
      </w:pPr>
      <w:r w:rsidRPr="003F57D6">
        <w:rPr>
          <w:rFonts w:ascii="Arial" w:hAnsi="Arial" w:cs="Arial"/>
          <w:sz w:val="24"/>
          <w:szCs w:val="24"/>
        </w:rPr>
        <w:t xml:space="preserve">Cuando una empresa se formaliza, se libera de una serie de obstáculos, que limitan muchas veces su crecimiento, desarrollo y consolidación en el mercado, ya que al estar formalizada la empresa, esta puede tener acceso a mercados que bajo el esquema de la informalidad no tiene ninguna posibilidad de alcanzarlos,  además, la empresa tiene la posibilidad de acceder a recursos financieros provenientes de programas especiales destinados a PYME, al poder demostrar un mayor flujo de efectivo y poder demostrar un mayor desempeño </w:t>
      </w:r>
      <w:proofErr w:type="gramStart"/>
      <w:r w:rsidRPr="003F57D6">
        <w:rPr>
          <w:rFonts w:ascii="Arial" w:hAnsi="Arial" w:cs="Arial"/>
          <w:sz w:val="24"/>
          <w:szCs w:val="24"/>
        </w:rPr>
        <w:t>financiero</w:t>
      </w:r>
      <w:proofErr w:type="gramEnd"/>
      <w:r w:rsidRPr="003F57D6">
        <w:rPr>
          <w:rFonts w:ascii="Arial" w:hAnsi="Arial" w:cs="Arial"/>
          <w:sz w:val="24"/>
          <w:szCs w:val="24"/>
        </w:rPr>
        <w:t xml:space="preserve">. </w:t>
      </w:r>
    </w:p>
    <w:p w:rsidR="003F57D6" w:rsidRPr="003F57D6" w:rsidRDefault="003F57D6" w:rsidP="003F57D6">
      <w:pPr>
        <w:jc w:val="both"/>
        <w:rPr>
          <w:rFonts w:ascii="Arial" w:hAnsi="Arial" w:cs="Arial"/>
          <w:sz w:val="24"/>
          <w:szCs w:val="24"/>
        </w:rPr>
      </w:pPr>
      <w:r w:rsidRPr="003F57D6">
        <w:rPr>
          <w:rFonts w:ascii="Arial" w:hAnsi="Arial" w:cs="Arial"/>
          <w:sz w:val="24"/>
          <w:szCs w:val="24"/>
        </w:rPr>
        <w:t xml:space="preserve">Es importante tener presente que al formalizarse una empresa, no solo se beneficia esta, </w:t>
      </w:r>
      <w:proofErr w:type="spellStart"/>
      <w:r w:rsidRPr="003F57D6">
        <w:rPr>
          <w:rFonts w:ascii="Arial" w:hAnsi="Arial" w:cs="Arial"/>
          <w:sz w:val="24"/>
          <w:szCs w:val="24"/>
        </w:rPr>
        <w:t>si no</w:t>
      </w:r>
      <w:proofErr w:type="spellEnd"/>
      <w:r w:rsidRPr="003F57D6">
        <w:rPr>
          <w:rFonts w:ascii="Arial" w:hAnsi="Arial" w:cs="Arial"/>
          <w:sz w:val="24"/>
          <w:szCs w:val="24"/>
        </w:rPr>
        <w:t xml:space="preserve"> también sus trabajadores los cuales, tanto ellos como sus familias están cubiertos por la seguridad social, además de tener salarios, iguales o superiores a los mínimos de ley, que también los hace sujetos de crédito. Por su parte, el Estado y los gobiernos municipales pueden percibir más recursos, tanto de las empresas como de los trabajadores, con lo cual se pueden dar mejoras en los servicios o desarrollar otros. </w:t>
      </w:r>
    </w:p>
    <w:p w:rsidR="004B2373" w:rsidRDefault="003F57D6" w:rsidP="003F57D6">
      <w:pPr>
        <w:jc w:val="both"/>
        <w:rPr>
          <w:rFonts w:ascii="Arial" w:hAnsi="Arial" w:cs="Arial"/>
          <w:sz w:val="24"/>
          <w:szCs w:val="24"/>
        </w:rPr>
      </w:pPr>
      <w:r w:rsidRPr="003F57D6">
        <w:rPr>
          <w:rFonts w:ascii="Arial" w:hAnsi="Arial" w:cs="Arial"/>
          <w:sz w:val="24"/>
          <w:szCs w:val="24"/>
        </w:rPr>
        <w:t xml:space="preserve">Sobre los costos de la formalización, es importante que se tenga presente, </w:t>
      </w:r>
      <w:proofErr w:type="gramStart"/>
      <w:r w:rsidRPr="003F57D6">
        <w:rPr>
          <w:rFonts w:ascii="Arial" w:hAnsi="Arial" w:cs="Arial"/>
          <w:sz w:val="24"/>
          <w:szCs w:val="24"/>
        </w:rPr>
        <w:t>que  estos</w:t>
      </w:r>
      <w:proofErr w:type="gramEnd"/>
      <w:r w:rsidRPr="003F57D6">
        <w:rPr>
          <w:rFonts w:ascii="Arial" w:hAnsi="Arial" w:cs="Arial"/>
          <w:sz w:val="24"/>
          <w:szCs w:val="24"/>
        </w:rPr>
        <w:t xml:space="preserve"> deben ser cargados a los productos y servicios que ofrecen las empresas, de allí la importancia de que las empresas lleven un buen control de los recursos tanto de los que entran como los que salen y que las contabilidades, se conviertan en un instrumento que ayude a la organización  ala adecuada toma de decisiones y no para cumplir  con un trámite de formalización.</w:t>
      </w:r>
      <w:r w:rsidR="004B2373"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4716"/>
      </w:tblGrid>
      <w:tr w:rsidR="004B2373" w:rsidTr="004B2373">
        <w:tc>
          <w:tcPr>
            <w:tcW w:w="3778" w:type="dxa"/>
            <w:vAlign w:val="center"/>
          </w:tcPr>
          <w:p w:rsidR="004B2373" w:rsidRDefault="004B2373" w:rsidP="003F57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2373">
              <w:rPr>
                <w:rFonts w:ascii="Bradley Hand ITC" w:hAnsi="Bradley Hand ITC" w:cs="Arial"/>
                <w:b/>
                <w:color w:val="2E74B5" w:themeColor="accent1" w:themeShade="BF"/>
                <w:sz w:val="48"/>
                <w:szCs w:val="48"/>
              </w:rPr>
              <w:lastRenderedPageBreak/>
              <w:t>Beneficios de la condición PYME:</w:t>
            </w:r>
          </w:p>
        </w:tc>
        <w:tc>
          <w:tcPr>
            <w:tcW w:w="4716" w:type="dxa"/>
          </w:tcPr>
          <w:p w:rsidR="004B2373" w:rsidRDefault="004B2373" w:rsidP="003F57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B3095A2" wp14:editId="651F9C5D">
                  <wp:extent cx="2857500" cy="1600200"/>
                  <wp:effectExtent l="0" t="0" r="0" b="0"/>
                  <wp:docPr id="2" name="Imagen 2" descr="Beneficios de las PYMES en Costa 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ficios de las PYMES en Costa 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373" w:rsidRPr="003F57D6" w:rsidRDefault="004B2373" w:rsidP="003F57D6">
      <w:pPr>
        <w:jc w:val="both"/>
        <w:rPr>
          <w:rFonts w:ascii="Arial" w:hAnsi="Arial" w:cs="Arial"/>
          <w:b/>
          <w:sz w:val="24"/>
          <w:szCs w:val="24"/>
        </w:rPr>
      </w:pPr>
    </w:p>
    <w:p w:rsidR="003F57D6" w:rsidRDefault="003F57D6" w:rsidP="003F5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condición PYME la otorga el Ministerio de Economía, Industria y Comercio, amparado al artículo No. 3 de la ley No. 8262, la misma la pueden </w:t>
      </w:r>
      <w:proofErr w:type="gramStart"/>
      <w:r>
        <w:rPr>
          <w:rFonts w:ascii="Arial" w:hAnsi="Arial" w:cs="Arial"/>
          <w:sz w:val="24"/>
          <w:szCs w:val="24"/>
        </w:rPr>
        <w:t>obtener  las</w:t>
      </w:r>
      <w:proofErr w:type="gramEnd"/>
      <w:r>
        <w:rPr>
          <w:rFonts w:ascii="Arial" w:hAnsi="Arial" w:cs="Arial"/>
          <w:sz w:val="24"/>
          <w:szCs w:val="24"/>
        </w:rPr>
        <w:t xml:space="preserve"> micro, pequeñas y medianas empresas de los sectores de industria, comercio y servicios, que se inscriban en el MEIC, debiendo cumplir las empresas con presentar una declaración jurada y además de cumplir con al menos dos de estas tres condiciones: </w:t>
      </w:r>
    </w:p>
    <w:p w:rsidR="003F57D6" w:rsidRPr="003F57D6" w:rsidRDefault="003F57D6" w:rsidP="003F57D6">
      <w:pPr>
        <w:ind w:left="708"/>
        <w:jc w:val="both"/>
        <w:rPr>
          <w:rFonts w:ascii="Arial" w:hAnsi="Arial" w:cs="Arial"/>
          <w:sz w:val="24"/>
          <w:szCs w:val="24"/>
        </w:rPr>
      </w:pPr>
      <w:r w:rsidRPr="003F57D6">
        <w:rPr>
          <w:rFonts w:ascii="Arial" w:hAnsi="Arial" w:cs="Arial"/>
          <w:sz w:val="24"/>
          <w:szCs w:val="24"/>
        </w:rPr>
        <w:t>a) El pago de cargas sociales</w:t>
      </w:r>
      <w:r>
        <w:rPr>
          <w:rFonts w:ascii="Arial" w:hAnsi="Arial" w:cs="Arial"/>
          <w:sz w:val="24"/>
          <w:szCs w:val="24"/>
        </w:rPr>
        <w:t xml:space="preserve"> (Institución: Caja Costarricense de Seguro Social)</w:t>
      </w:r>
      <w:r w:rsidRPr="003F57D6">
        <w:rPr>
          <w:rFonts w:ascii="Arial" w:hAnsi="Arial" w:cs="Arial"/>
          <w:sz w:val="24"/>
          <w:szCs w:val="24"/>
        </w:rPr>
        <w:t>.</w:t>
      </w:r>
    </w:p>
    <w:p w:rsidR="003F57D6" w:rsidRPr="003F57D6" w:rsidRDefault="003F57D6" w:rsidP="003F57D6">
      <w:pPr>
        <w:ind w:left="708"/>
        <w:jc w:val="both"/>
        <w:rPr>
          <w:rFonts w:ascii="Arial" w:hAnsi="Arial" w:cs="Arial"/>
          <w:sz w:val="24"/>
          <w:szCs w:val="24"/>
        </w:rPr>
      </w:pPr>
      <w:r w:rsidRPr="003F57D6">
        <w:rPr>
          <w:rFonts w:ascii="Arial" w:hAnsi="Arial" w:cs="Arial"/>
          <w:sz w:val="24"/>
          <w:szCs w:val="24"/>
        </w:rPr>
        <w:t>b) El cumplimie</w:t>
      </w:r>
      <w:r>
        <w:rPr>
          <w:rFonts w:ascii="Arial" w:hAnsi="Arial" w:cs="Arial"/>
          <w:sz w:val="24"/>
          <w:szCs w:val="24"/>
        </w:rPr>
        <w:t>nto de obligaciones tributarias (Ministerio de Hacienda)</w:t>
      </w:r>
    </w:p>
    <w:p w:rsidR="003F57D6" w:rsidRDefault="003F57D6" w:rsidP="003F57D6">
      <w:pPr>
        <w:ind w:left="708"/>
        <w:jc w:val="both"/>
        <w:rPr>
          <w:rFonts w:ascii="Arial" w:hAnsi="Arial" w:cs="Arial"/>
          <w:sz w:val="24"/>
          <w:szCs w:val="24"/>
        </w:rPr>
      </w:pPr>
      <w:r w:rsidRPr="003F57D6">
        <w:rPr>
          <w:rFonts w:ascii="Arial" w:hAnsi="Arial" w:cs="Arial"/>
          <w:sz w:val="24"/>
          <w:szCs w:val="24"/>
        </w:rPr>
        <w:t>c) El cumplimiento de obligaciones laborales</w:t>
      </w:r>
      <w:r>
        <w:rPr>
          <w:rFonts w:ascii="Arial" w:hAnsi="Arial" w:cs="Arial"/>
          <w:sz w:val="24"/>
          <w:szCs w:val="24"/>
        </w:rPr>
        <w:t xml:space="preserve"> (Instituto Nacional de Seguros)</w:t>
      </w:r>
      <w:r w:rsidRPr="003F57D6">
        <w:rPr>
          <w:rFonts w:ascii="Arial" w:hAnsi="Arial" w:cs="Arial"/>
          <w:sz w:val="24"/>
          <w:szCs w:val="24"/>
        </w:rPr>
        <w:t>.</w:t>
      </w:r>
    </w:p>
    <w:p w:rsidR="003F57D6" w:rsidRDefault="003F57D6" w:rsidP="003F5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condición PYME, da una serie de beneficios a las empresas, sobre todo </w:t>
      </w:r>
      <w:proofErr w:type="gramStart"/>
      <w:r>
        <w:rPr>
          <w:rFonts w:ascii="Arial" w:hAnsi="Arial" w:cs="Arial"/>
          <w:sz w:val="24"/>
          <w:szCs w:val="24"/>
        </w:rPr>
        <w:t>a las micro</w:t>
      </w:r>
      <w:proofErr w:type="gramEnd"/>
      <w:r>
        <w:rPr>
          <w:rFonts w:ascii="Arial" w:hAnsi="Arial" w:cs="Arial"/>
          <w:sz w:val="24"/>
          <w:szCs w:val="24"/>
        </w:rPr>
        <w:t xml:space="preserve"> empresas, entre los beneficios destacan: 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Participar en procesos de capacitación y asesoría técnica.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 xml:space="preserve">Trato preferencial en </w:t>
      </w:r>
      <w:proofErr w:type="gramStart"/>
      <w:r w:rsidRPr="00086F48">
        <w:rPr>
          <w:rFonts w:ascii="Arial" w:hAnsi="Arial" w:cs="Arial"/>
          <w:sz w:val="24"/>
          <w:szCs w:val="24"/>
        </w:rPr>
        <w:t>las  Compras</w:t>
      </w:r>
      <w:proofErr w:type="gramEnd"/>
      <w:r w:rsidRPr="00086F48">
        <w:rPr>
          <w:rFonts w:ascii="Arial" w:hAnsi="Arial" w:cs="Arial"/>
          <w:sz w:val="24"/>
          <w:szCs w:val="24"/>
        </w:rPr>
        <w:t xml:space="preserve"> del Estado.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Acceso a los recursos:</w:t>
      </w:r>
    </w:p>
    <w:p w:rsidR="00487AA2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 xml:space="preserve">FODEMIPYME </w:t>
      </w:r>
      <w:r w:rsidR="00487AA2">
        <w:rPr>
          <w:rFonts w:ascii="Arial" w:hAnsi="Arial" w:cs="Arial"/>
          <w:sz w:val="24"/>
          <w:szCs w:val="24"/>
        </w:rPr>
        <w:t>(Fondo de avales y garantías creado por Ley No. 8262)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PROPYME</w:t>
      </w:r>
      <w:r w:rsidR="00487AA2">
        <w:rPr>
          <w:rFonts w:ascii="Arial" w:hAnsi="Arial" w:cs="Arial"/>
          <w:sz w:val="24"/>
          <w:szCs w:val="24"/>
        </w:rPr>
        <w:t xml:space="preserve"> (Fondo no reembolsable para innovación y tecnología creado mediante Ley No. 8262)</w:t>
      </w:r>
      <w:r w:rsidRPr="00086F48">
        <w:rPr>
          <w:rFonts w:ascii="Arial" w:hAnsi="Arial" w:cs="Arial"/>
          <w:sz w:val="24"/>
          <w:szCs w:val="24"/>
        </w:rPr>
        <w:t>.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Programas de Emprendimientos (Incubación).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Ferias empresariales.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Ruedas de Negocios.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Sello PYME.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 xml:space="preserve">Exoneración impuesto Sociedades Jurídicas 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Exoneración Impuesto Renta (Ley 9635) (</w:t>
      </w:r>
      <w:r w:rsidR="00487AA2">
        <w:rPr>
          <w:rFonts w:ascii="Arial" w:hAnsi="Arial" w:cs="Arial"/>
          <w:sz w:val="24"/>
          <w:szCs w:val="24"/>
        </w:rPr>
        <w:t xml:space="preserve">aplica a </w:t>
      </w:r>
      <w:r w:rsidRPr="00086F48">
        <w:rPr>
          <w:rFonts w:ascii="Arial" w:hAnsi="Arial" w:cs="Arial"/>
          <w:sz w:val="24"/>
          <w:szCs w:val="24"/>
        </w:rPr>
        <w:t>micro y pequeña</w:t>
      </w:r>
      <w:r w:rsidR="00487AA2">
        <w:rPr>
          <w:rFonts w:ascii="Arial" w:hAnsi="Arial" w:cs="Arial"/>
          <w:sz w:val="24"/>
          <w:szCs w:val="24"/>
        </w:rPr>
        <w:t xml:space="preserve"> nuevas</w:t>
      </w:r>
      <w:r w:rsidRPr="00086F48">
        <w:rPr>
          <w:rFonts w:ascii="Arial" w:hAnsi="Arial" w:cs="Arial"/>
          <w:sz w:val="24"/>
          <w:szCs w:val="24"/>
        </w:rPr>
        <w:t>)</w:t>
      </w:r>
    </w:p>
    <w:p w:rsidR="00086F48" w:rsidRP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Exoneración del IVA en Alquileres (Ley 9635) (micro)</w:t>
      </w:r>
    </w:p>
    <w:p w:rsidR="00086F48" w:rsidRDefault="00086F48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86F48">
        <w:rPr>
          <w:rFonts w:ascii="Arial" w:hAnsi="Arial" w:cs="Arial"/>
          <w:sz w:val="24"/>
          <w:szCs w:val="24"/>
        </w:rPr>
        <w:t>Pago diferenciado en el Ministerio de Salud P</w:t>
      </w:r>
      <w:r>
        <w:rPr>
          <w:rFonts w:ascii="Arial" w:hAnsi="Arial" w:cs="Arial"/>
          <w:sz w:val="24"/>
          <w:szCs w:val="24"/>
        </w:rPr>
        <w:t>ermisos Sanitarios de Funcionamiento  (20 $)</w:t>
      </w:r>
    </w:p>
    <w:p w:rsidR="00086F48" w:rsidRPr="00086F48" w:rsidRDefault="00487AA2" w:rsidP="00086F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Reducción en</w:t>
      </w:r>
      <w:r w:rsidR="00086F48">
        <w:rPr>
          <w:rFonts w:ascii="Arial" w:hAnsi="Arial" w:cs="Arial"/>
          <w:sz w:val="24"/>
          <w:szCs w:val="24"/>
        </w:rPr>
        <w:t xml:space="preserve"> un 80,0 % del monto a pagar por los Registros Sanitarios de los productos de interés </w:t>
      </w:r>
      <w:proofErr w:type="gramStart"/>
      <w:r w:rsidR="00086F48">
        <w:rPr>
          <w:rFonts w:ascii="Arial" w:hAnsi="Arial" w:cs="Arial"/>
          <w:sz w:val="24"/>
          <w:szCs w:val="24"/>
        </w:rPr>
        <w:t xml:space="preserve">sanitario </w:t>
      </w:r>
      <w:r w:rsidR="00086F48" w:rsidRPr="00086F48">
        <w:rPr>
          <w:rFonts w:ascii="Arial" w:hAnsi="Arial" w:cs="Arial"/>
          <w:sz w:val="24"/>
          <w:szCs w:val="24"/>
        </w:rPr>
        <w:t xml:space="preserve"> RS</w:t>
      </w:r>
      <w:proofErr w:type="gramEnd"/>
      <w:r w:rsidR="00086F48" w:rsidRPr="00086F48">
        <w:rPr>
          <w:rFonts w:ascii="Arial" w:hAnsi="Arial" w:cs="Arial"/>
          <w:sz w:val="24"/>
          <w:szCs w:val="24"/>
        </w:rPr>
        <w:t xml:space="preserve"> (20,0%) (micro)</w:t>
      </w:r>
    </w:p>
    <w:p w:rsidR="003F57D6" w:rsidRDefault="00086F48" w:rsidP="004B2373">
      <w:pPr>
        <w:pStyle w:val="Prrafodelista"/>
        <w:numPr>
          <w:ilvl w:val="0"/>
          <w:numId w:val="1"/>
        </w:numPr>
        <w:jc w:val="both"/>
      </w:pPr>
      <w:r w:rsidRPr="004B2373">
        <w:rPr>
          <w:rFonts w:ascii="Arial" w:hAnsi="Arial" w:cs="Arial"/>
          <w:sz w:val="24"/>
          <w:szCs w:val="24"/>
        </w:rPr>
        <w:t>Acceso al régimen de tarifa diferenciada de la CCSS Base Ajustada al Salario (BAS)</w:t>
      </w:r>
      <w:r w:rsidR="00487AA2" w:rsidRPr="004B2373">
        <w:rPr>
          <w:rFonts w:ascii="Arial" w:hAnsi="Arial" w:cs="Arial"/>
          <w:sz w:val="24"/>
          <w:szCs w:val="24"/>
        </w:rPr>
        <w:t xml:space="preserve"> (aplica   a empresas nuevas y hasta 5 empleados)</w:t>
      </w:r>
      <w:bookmarkStart w:id="0" w:name="_GoBack"/>
      <w:bookmarkEnd w:id="0"/>
      <w:r w:rsidR="003F57D6">
        <w:t xml:space="preserve">   </w:t>
      </w:r>
    </w:p>
    <w:sectPr w:rsidR="003F5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A1753"/>
    <w:multiLevelType w:val="hybridMultilevel"/>
    <w:tmpl w:val="003A1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6"/>
    <w:rsid w:val="00086F48"/>
    <w:rsid w:val="0022542F"/>
    <w:rsid w:val="003F57D6"/>
    <w:rsid w:val="00487AA2"/>
    <w:rsid w:val="004B2373"/>
    <w:rsid w:val="005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FCB1-1779-46AB-A6B9-6E1965C7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F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Bermudez Gomez</dc:creator>
  <cp:keywords/>
  <dc:description/>
  <cp:lastModifiedBy>Hugo Bermudez Gomez</cp:lastModifiedBy>
  <cp:revision>5</cp:revision>
  <dcterms:created xsi:type="dcterms:W3CDTF">2022-06-29T16:45:00Z</dcterms:created>
  <dcterms:modified xsi:type="dcterms:W3CDTF">2022-06-29T21:45:00Z</dcterms:modified>
</cp:coreProperties>
</file>